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F1032">
      <w:pPr>
        <w:pStyle w:val="91"/>
        <w:tabs>
          <w:tab w:val="right" w:pos="9639"/>
        </w:tabs>
        <w:spacing w:after="0"/>
        <w:rPr>
          <w:b/>
          <w:sz w:val="28"/>
        </w:rPr>
      </w:pPr>
      <w:r>
        <w:rPr>
          <w:b/>
          <w:sz w:val="24"/>
        </w:rPr>
        <w:t>3GPP TSG-RAN WG3 Meeting #127bis</w:t>
      </w:r>
      <w:r>
        <w:rPr>
          <w:b/>
          <w:i/>
          <w:sz w:val="28"/>
        </w:rPr>
        <w:tab/>
      </w:r>
      <w:bookmarkStart w:id="0" w:name="_GoBack"/>
      <w:r>
        <w:rPr>
          <w:rFonts w:hint="eastAsia"/>
          <w:b/>
          <w:i/>
          <w:sz w:val="28"/>
        </w:rPr>
        <w:t>R3-251766</w:t>
      </w:r>
      <w:bookmarkEnd w:id="0"/>
    </w:p>
    <w:p w14:paraId="6D5D35CA">
      <w:pPr>
        <w:pStyle w:val="91"/>
        <w:tabs>
          <w:tab w:val="right" w:pos="9639"/>
        </w:tabs>
        <w:spacing w:after="0"/>
        <w:rPr>
          <w:b/>
          <w:sz w:val="24"/>
        </w:rPr>
      </w:pPr>
      <w:r>
        <w:rPr>
          <w:b/>
          <w:bCs/>
          <w:sz w:val="24"/>
        </w:rPr>
        <w:t>Wuhan, China, 7</w:t>
      </w:r>
      <w:r>
        <w:rPr>
          <w:b/>
          <w:bCs/>
          <w:sz w:val="24"/>
          <w:vertAlign w:val="superscript"/>
        </w:rPr>
        <w:t>th</w:t>
      </w:r>
      <w:r>
        <w:rPr>
          <w:b/>
          <w:bCs/>
          <w:sz w:val="24"/>
        </w:rPr>
        <w:t xml:space="preserve"> – 11</w:t>
      </w:r>
      <w:r>
        <w:rPr>
          <w:b/>
          <w:bCs/>
          <w:sz w:val="24"/>
          <w:vertAlign w:val="superscript"/>
        </w:rPr>
        <w:t>st</w:t>
      </w:r>
      <w:r>
        <w:rPr>
          <w:b/>
          <w:bCs/>
          <w:sz w:val="24"/>
        </w:rPr>
        <w:t xml:space="preserve"> April 2025</w:t>
      </w:r>
    </w:p>
    <w:p w14:paraId="2BE56851">
      <w:pPr>
        <w:pStyle w:val="36"/>
        <w:rPr>
          <w:bCs/>
          <w:sz w:val="24"/>
        </w:rPr>
      </w:pPr>
    </w:p>
    <w:p w14:paraId="1ADFAE7D">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14.3</w:t>
      </w:r>
    </w:p>
    <w:p w14:paraId="1235BAB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 Qualcomm Incorporated, Nokia, Nokia Shanghai Bell</w:t>
      </w:r>
    </w:p>
    <w:p w14:paraId="3247E481">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Support of Inactive UE mobility in NTN</w:t>
      </w:r>
    </w:p>
    <w:p w14:paraId="0B15F84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64E2F709">
      <w:pPr>
        <w:pStyle w:val="2"/>
      </w:pPr>
      <w:r>
        <w:t>1</w:t>
      </w:r>
      <w:r>
        <w:tab/>
      </w:r>
      <w:r>
        <w:t>Introduction</w:t>
      </w:r>
    </w:p>
    <w:p w14:paraId="722C1166">
      <w:pPr>
        <w:overflowPunct w:val="0"/>
        <w:autoSpaceDE w:val="0"/>
        <w:autoSpaceDN w:val="0"/>
        <w:adjustRightInd w:val="0"/>
        <w:spacing w:after="120" w:line="288" w:lineRule="auto"/>
        <w:jc w:val="both"/>
        <w:textAlignment w:val="baseline"/>
        <w:rPr>
          <w:rFonts w:eastAsiaTheme="minorEastAsia"/>
          <w:lang w:eastAsia="zh-CN"/>
        </w:rPr>
      </w:pPr>
      <w:r>
        <mc:AlternateContent>
          <mc:Choice Requires="wps">
            <w:drawing>
              <wp:anchor distT="0" distB="0" distL="114300" distR="114300" simplePos="0" relativeHeight="251659264" behindDoc="0" locked="0" layoutInCell="1" allowOverlap="1">
                <wp:simplePos x="0" y="0"/>
                <wp:positionH relativeFrom="margin">
                  <wp:posOffset>5715</wp:posOffset>
                </wp:positionH>
                <wp:positionV relativeFrom="paragraph">
                  <wp:posOffset>687705</wp:posOffset>
                </wp:positionV>
                <wp:extent cx="6178550" cy="1530985"/>
                <wp:effectExtent l="0" t="0" r="12700" b="12065"/>
                <wp:wrapTopAndBottom/>
                <wp:docPr id="1" name="文本框 1"/>
                <wp:cNvGraphicFramePr/>
                <a:graphic xmlns:a="http://schemas.openxmlformats.org/drawingml/2006/main">
                  <a:graphicData uri="http://schemas.microsoft.com/office/word/2010/wordprocessingShape">
                    <wps:wsp>
                      <wps:cNvSpPr txBox="1"/>
                      <wps:spPr>
                        <a:xfrm>
                          <a:off x="0" y="0"/>
                          <a:ext cx="6178550" cy="1530985"/>
                        </a:xfrm>
                        <a:prstGeom prst="rect">
                          <a:avLst/>
                        </a:prstGeom>
                        <a:solidFill>
                          <a:schemeClr val="lt1"/>
                        </a:solidFill>
                        <a:ln w="6350">
                          <a:solidFill>
                            <a:prstClr val="black"/>
                          </a:solidFill>
                        </a:ln>
                      </wps:spPr>
                      <wps:txbx>
                        <w:txbxContent>
                          <w:p w14:paraId="6EB93ADA">
                            <w:pPr>
                              <w:rPr>
                                <w:rFonts w:cs="Calibri"/>
                                <w:i/>
                                <w:color w:val="FF0000"/>
                                <w:sz w:val="16"/>
                                <w:szCs w:val="16"/>
                              </w:rPr>
                            </w:pPr>
                            <w:r>
                              <w:rPr>
                                <w:rFonts w:cs="Calibri"/>
                                <w:i/>
                                <w:color w:val="FF0000"/>
                                <w:sz w:val="16"/>
                                <w:szCs w:val="16"/>
                              </w:rPr>
                              <w:t>RAN3#126:</w:t>
                            </w:r>
                          </w:p>
                          <w:p w14:paraId="5313A81E">
                            <w:pPr>
                              <w:rPr>
                                <w:rFonts w:cs="Calibri"/>
                                <w:i/>
                                <w:color w:val="FF0000"/>
                                <w:sz w:val="16"/>
                                <w:szCs w:val="16"/>
                              </w:rPr>
                            </w:pPr>
                            <w:r>
                              <w:rPr>
                                <w:rFonts w:eastAsia="MS Mincho" w:cs="Calibri"/>
                                <w:i/>
                                <w:iCs/>
                                <w:color w:val="00B050"/>
                                <w:kern w:val="2"/>
                                <w:sz w:val="16"/>
                                <w:szCs w:val="16"/>
                                <w:u w:val="single"/>
                              </w:rPr>
                              <w:t>Inactive UE support:</w:t>
                            </w:r>
                          </w:p>
                          <w:p w14:paraId="34256888">
                            <w:pPr>
                              <w:pStyle w:val="31"/>
                              <w:rPr>
                                <w:rFonts w:ascii="Calibri" w:hAnsi="Calibri" w:eastAsia="宋体" w:cs="Calibri"/>
                                <w:i/>
                                <w:color w:val="FF0000"/>
                                <w:sz w:val="16"/>
                                <w:szCs w:val="16"/>
                              </w:rPr>
                            </w:pPr>
                            <w:r>
                              <w:rPr>
                                <w:rFonts w:ascii="Calibri" w:hAnsi="Calibri" w:eastAsia="宋体" w:cs="Calibri"/>
                                <w:i/>
                                <w:color w:val="FF0000"/>
                                <w:sz w:val="16"/>
                                <w:szCs w:val="16"/>
                              </w:rPr>
                              <w:t>Option 1, UE context is forwarded to the next satellites</w:t>
                            </w:r>
                          </w:p>
                          <w:p w14:paraId="1A27F6E2">
                            <w:pPr>
                              <w:pStyle w:val="31"/>
                              <w:rPr>
                                <w:rFonts w:ascii="Calibri" w:hAnsi="Calibri" w:eastAsia="宋体" w:cs="Calibri"/>
                                <w:i/>
                                <w:color w:val="FF0000"/>
                                <w:sz w:val="16"/>
                                <w:szCs w:val="16"/>
                              </w:rPr>
                            </w:pPr>
                            <w:r>
                              <w:rPr>
                                <w:rFonts w:ascii="Calibri" w:hAnsi="Calibri" w:eastAsia="宋体" w:cs="Calibri"/>
                                <w:i/>
                                <w:color w:val="FF0000"/>
                                <w:sz w:val="16"/>
                                <w:szCs w:val="16"/>
                              </w:rPr>
                              <w:t>Option 2, UE context is kept on a fixed node (on-ground gNB or AMF)</w:t>
                            </w:r>
                          </w:p>
                          <w:p w14:paraId="0A370EE7">
                            <w:pPr>
                              <w:pStyle w:val="31"/>
                              <w:rPr>
                                <w:rFonts w:ascii="Calibri" w:hAnsi="Calibri" w:eastAsia="宋体" w:cs="Calibri"/>
                                <w:i/>
                                <w:color w:val="FF0000"/>
                                <w:sz w:val="16"/>
                                <w:szCs w:val="16"/>
                              </w:rPr>
                            </w:pPr>
                            <w:r>
                              <w:rPr>
                                <w:rFonts w:ascii="Calibri" w:hAnsi="Calibri" w:eastAsia="宋体" w:cs="Calibri"/>
                                <w:i/>
                                <w:color w:val="FF0000"/>
                                <w:sz w:val="16"/>
                                <w:szCs w:val="16"/>
                              </w:rPr>
                              <w:t>Option 3, UE context is kept in the last serving gNB and NG-based UE context retrieve procedure is used</w:t>
                            </w:r>
                          </w:p>
                          <w:p w14:paraId="7D435C60">
                            <w:pPr>
                              <w:pStyle w:val="31"/>
                              <w:rPr>
                                <w:rFonts w:ascii="Calibri" w:hAnsi="Calibri" w:eastAsia="宋体" w:cs="Calibri"/>
                                <w:i/>
                                <w:color w:val="FF0000"/>
                                <w:sz w:val="16"/>
                                <w:szCs w:val="16"/>
                              </w:rPr>
                            </w:pPr>
                            <w:r>
                              <w:rPr>
                                <w:rFonts w:ascii="Calibri" w:hAnsi="Calibri" w:eastAsia="宋体" w:cs="Calibri"/>
                                <w:i/>
                                <w:color w:val="FF0000"/>
                                <w:sz w:val="16"/>
                                <w:szCs w:val="16"/>
                              </w:rPr>
                              <w:t>Whether to support NG suspend/Resume?</w:t>
                            </w:r>
                          </w:p>
                          <w:p w14:paraId="1C3BD260">
                            <w:pPr>
                              <w:rPr>
                                <w:rFonts w:ascii="Calibri" w:hAnsi="Calibri" w:eastAsia="MS Mincho"/>
                                <w:b/>
                                <w:bCs/>
                                <w:color w:val="008000"/>
                                <w:sz w:val="18"/>
                                <w:szCs w:val="24"/>
                              </w:rPr>
                            </w:pPr>
                            <w:r>
                              <w:rPr>
                                <w:rFonts w:cs="Calibri"/>
                                <w:i/>
                                <w:color w:val="FF0000"/>
                                <w:sz w:val="16"/>
                                <w:szCs w:val="16"/>
                              </w:rPr>
                              <w:t>Continue the discussion on above open issues…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45pt;margin-top:54.15pt;height:120.55pt;width:486.5pt;mso-position-horizontal-relative:margin;mso-wrap-distance-bottom:0pt;mso-wrap-distance-top:0pt;z-index:251659264;mso-width-relative:page;mso-height-relative:page;" fillcolor="#FFFFFF [3201]" filled="t" stroked="t" coordsize="21600,21600" o:gfxdata="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AEdE0tUAAAAIAQAA&#10;DwAAAAAAAAABACAAAAAiAAAAZHJzL2Rvd25yZXYueG1sUEsBAhQAFAAAAAgAh07iQO5puRRVAgAA&#10;uAQAAA4AAAAAAAAAAQAgAAAAJAEAAGRycy9lMm9Eb2MueG1sUEsFBgAAAAAGAAYAWQEAAOsFAAAA&#10;AA==&#10;">
                <v:fill on="t" focussize="0,0"/>
                <v:stroke weight="0.5pt" color="#000000" joinstyle="round"/>
                <v:imagedata o:title=""/>
                <o:lock v:ext="edit" aspectratio="f"/>
                <v:textbox>
                  <w:txbxContent>
                    <w:p w14:paraId="6EB93ADA">
                      <w:pPr>
                        <w:rPr>
                          <w:rFonts w:cs="Calibri"/>
                          <w:i/>
                          <w:color w:val="FF0000"/>
                          <w:sz w:val="16"/>
                          <w:szCs w:val="16"/>
                        </w:rPr>
                      </w:pPr>
                      <w:r>
                        <w:rPr>
                          <w:rFonts w:cs="Calibri"/>
                          <w:i/>
                          <w:color w:val="FF0000"/>
                          <w:sz w:val="16"/>
                          <w:szCs w:val="16"/>
                        </w:rPr>
                        <w:t>RAN3#126:</w:t>
                      </w:r>
                    </w:p>
                    <w:p w14:paraId="5313A81E">
                      <w:pPr>
                        <w:rPr>
                          <w:rFonts w:cs="Calibri"/>
                          <w:i/>
                          <w:color w:val="FF0000"/>
                          <w:sz w:val="16"/>
                          <w:szCs w:val="16"/>
                        </w:rPr>
                      </w:pPr>
                      <w:r>
                        <w:rPr>
                          <w:rFonts w:eastAsia="MS Mincho" w:cs="Calibri"/>
                          <w:i/>
                          <w:iCs/>
                          <w:color w:val="00B050"/>
                          <w:kern w:val="2"/>
                          <w:sz w:val="16"/>
                          <w:szCs w:val="16"/>
                          <w:u w:val="single"/>
                        </w:rPr>
                        <w:t>Inactive UE support:</w:t>
                      </w:r>
                    </w:p>
                    <w:p w14:paraId="34256888">
                      <w:pPr>
                        <w:pStyle w:val="31"/>
                        <w:rPr>
                          <w:rFonts w:ascii="Calibri" w:hAnsi="Calibri" w:eastAsia="宋体" w:cs="Calibri"/>
                          <w:i/>
                          <w:color w:val="FF0000"/>
                          <w:sz w:val="16"/>
                          <w:szCs w:val="16"/>
                        </w:rPr>
                      </w:pPr>
                      <w:r>
                        <w:rPr>
                          <w:rFonts w:ascii="Calibri" w:hAnsi="Calibri" w:eastAsia="宋体" w:cs="Calibri"/>
                          <w:i/>
                          <w:color w:val="FF0000"/>
                          <w:sz w:val="16"/>
                          <w:szCs w:val="16"/>
                        </w:rPr>
                        <w:t>Option 1, UE context is forwarded to the next satellites</w:t>
                      </w:r>
                    </w:p>
                    <w:p w14:paraId="1A27F6E2">
                      <w:pPr>
                        <w:pStyle w:val="31"/>
                        <w:rPr>
                          <w:rFonts w:ascii="Calibri" w:hAnsi="Calibri" w:eastAsia="宋体" w:cs="Calibri"/>
                          <w:i/>
                          <w:color w:val="FF0000"/>
                          <w:sz w:val="16"/>
                          <w:szCs w:val="16"/>
                        </w:rPr>
                      </w:pPr>
                      <w:r>
                        <w:rPr>
                          <w:rFonts w:ascii="Calibri" w:hAnsi="Calibri" w:eastAsia="宋体" w:cs="Calibri"/>
                          <w:i/>
                          <w:color w:val="FF0000"/>
                          <w:sz w:val="16"/>
                          <w:szCs w:val="16"/>
                        </w:rPr>
                        <w:t>Option 2, UE context is kept on a fixed node (on-ground gNB or AMF)</w:t>
                      </w:r>
                    </w:p>
                    <w:p w14:paraId="0A370EE7">
                      <w:pPr>
                        <w:pStyle w:val="31"/>
                        <w:rPr>
                          <w:rFonts w:ascii="Calibri" w:hAnsi="Calibri" w:eastAsia="宋体" w:cs="Calibri"/>
                          <w:i/>
                          <w:color w:val="FF0000"/>
                          <w:sz w:val="16"/>
                          <w:szCs w:val="16"/>
                        </w:rPr>
                      </w:pPr>
                      <w:r>
                        <w:rPr>
                          <w:rFonts w:ascii="Calibri" w:hAnsi="Calibri" w:eastAsia="宋体" w:cs="Calibri"/>
                          <w:i/>
                          <w:color w:val="FF0000"/>
                          <w:sz w:val="16"/>
                          <w:szCs w:val="16"/>
                        </w:rPr>
                        <w:t>Option 3, UE context is kept in the last serving gNB and NG-based UE context retrieve procedure is used</w:t>
                      </w:r>
                    </w:p>
                    <w:p w14:paraId="7D435C60">
                      <w:pPr>
                        <w:pStyle w:val="31"/>
                        <w:rPr>
                          <w:rFonts w:ascii="Calibri" w:hAnsi="Calibri" w:eastAsia="宋体" w:cs="Calibri"/>
                          <w:i/>
                          <w:color w:val="FF0000"/>
                          <w:sz w:val="16"/>
                          <w:szCs w:val="16"/>
                        </w:rPr>
                      </w:pPr>
                      <w:r>
                        <w:rPr>
                          <w:rFonts w:ascii="Calibri" w:hAnsi="Calibri" w:eastAsia="宋体" w:cs="Calibri"/>
                          <w:i/>
                          <w:color w:val="FF0000"/>
                          <w:sz w:val="16"/>
                          <w:szCs w:val="16"/>
                        </w:rPr>
                        <w:t>Whether to support NG suspend/Resume?</w:t>
                      </w:r>
                    </w:p>
                    <w:p w14:paraId="1C3BD260">
                      <w:pPr>
                        <w:rPr>
                          <w:rFonts w:ascii="Calibri" w:hAnsi="Calibri" w:eastAsia="MS Mincho"/>
                          <w:b/>
                          <w:bCs/>
                          <w:color w:val="008000"/>
                          <w:sz w:val="18"/>
                          <w:szCs w:val="24"/>
                        </w:rPr>
                      </w:pPr>
                      <w:r>
                        <w:rPr>
                          <w:rFonts w:cs="Calibri"/>
                          <w:i/>
                          <w:color w:val="FF0000"/>
                          <w:sz w:val="16"/>
                          <w:szCs w:val="16"/>
                        </w:rPr>
                        <w:t>Continue the discussion on above open issues…</w:t>
                      </w:r>
                    </w:p>
                  </w:txbxContent>
                </v:textbox>
                <w10:wrap type="topAndBottom"/>
              </v:shape>
            </w:pict>
          </mc:Fallback>
        </mc:AlternateContent>
      </w:r>
      <w:r>
        <w:t xml:space="preserve">During the previous RAN3 meeting, we discussed the issue of inactive UE and how to support it in NTN [1]. There are three main options, each with potential sub-options. We aim to further discuss the pros, cons, and potential impacts of these options. </w:t>
      </w:r>
    </w:p>
    <w:p w14:paraId="1FA45CEF">
      <w:pPr>
        <w:pStyle w:val="2"/>
      </w:pPr>
      <w:r>
        <w:t>2</w:t>
      </w:r>
      <w:r>
        <w:tab/>
      </w:r>
      <w:r>
        <w:t>Discussion</w:t>
      </w:r>
    </w:p>
    <w:p w14:paraId="7F8DFF6F">
      <w:pPr>
        <w:rPr>
          <w:lang w:val="en-US" w:eastAsia="zh-CN"/>
        </w:rPr>
      </w:pPr>
      <w:r>
        <w:rPr>
          <w:lang w:val="en-US" w:eastAsia="zh-CN"/>
        </w:rPr>
        <w:t xml:space="preserve">The following are the main intention to introduce inactive UE in 5G NR, which can be considered when analyze the potential solutions. </w:t>
      </w:r>
    </w:p>
    <w:p w14:paraId="058D3186">
      <w:pPr>
        <w:numPr>
          <w:ilvl w:val="0"/>
          <w:numId w:val="4"/>
        </w:numPr>
        <w:rPr>
          <w:lang w:val="en-US" w:eastAsia="zh-CN"/>
        </w:rPr>
      </w:pPr>
      <w:r>
        <w:rPr>
          <w:lang w:val="en-US" w:eastAsia="zh-CN"/>
        </w:rPr>
        <w:t>Reduced Latency: It helps in reducing the latency for data transmission. When a UE is in the inactive state, it can quickly transition to the connected state without the need for a full connection setup, which speeds up the process.</w:t>
      </w:r>
    </w:p>
    <w:p w14:paraId="14B1A03F">
      <w:pPr>
        <w:numPr>
          <w:ilvl w:val="0"/>
          <w:numId w:val="4"/>
        </w:numPr>
        <w:rPr>
          <w:lang w:val="en-US" w:eastAsia="zh-CN"/>
        </w:rPr>
      </w:pPr>
      <w:r>
        <w:rPr>
          <w:lang w:val="en-US" w:eastAsia="zh-CN"/>
        </w:rPr>
        <w:t>Energy Efficiency: It conserves battery life for devices. The UE in the inactive state consumes less power compared to when it is in the connected state.</w:t>
      </w:r>
    </w:p>
    <w:p w14:paraId="7D5D5E0F">
      <w:pPr>
        <w:numPr>
          <w:ilvl w:val="0"/>
          <w:numId w:val="4"/>
        </w:numPr>
        <w:rPr>
          <w:lang w:val="en-US" w:eastAsia="zh-CN"/>
        </w:rPr>
      </w:pPr>
      <w:r>
        <w:rPr>
          <w:lang w:val="en-US" w:eastAsia="zh-CN"/>
        </w:rPr>
        <w:t>Network Efficiency: It improves overall network efficiency. By keeping UEs in an inactive state when they are not actively transmitting data, the network can manage resources more effectively and reduce signaling overhead.</w:t>
      </w:r>
    </w:p>
    <w:p w14:paraId="01EE691A">
      <w:pPr>
        <w:numPr>
          <w:ilvl w:val="0"/>
          <w:numId w:val="4"/>
        </w:numPr>
        <w:rPr>
          <w:lang w:val="en-US" w:eastAsia="zh-CN"/>
        </w:rPr>
      </w:pPr>
      <w:r>
        <w:rPr>
          <w:lang w:val="en-US" w:eastAsia="zh-CN"/>
        </w:rPr>
        <w:t>Seamless Mobility: It supports seamless mobility. UEs can move between cells without needing to re-establish a connection.</w:t>
      </w:r>
    </w:p>
    <w:p w14:paraId="3242C378">
      <w:pPr>
        <w:rPr>
          <w:lang w:val="en-US" w:eastAsia="zh-CN"/>
        </w:rPr>
      </w:pPr>
      <w:r>
        <w:rPr>
          <w:lang w:val="en-US" w:eastAsia="zh-CN"/>
        </w:rPr>
        <w:t>The following are the analysis of the potential solutions.</w:t>
      </w:r>
    </w:p>
    <w:p w14:paraId="46518ED7">
      <w:pPr>
        <w:rPr>
          <w:lang w:val="en-US" w:eastAsia="zh-CN"/>
        </w:rPr>
      </w:pPr>
      <w:r>
        <w:rPr>
          <w:b/>
          <w:bCs/>
          <w:lang w:val="en-US" w:eastAsia="zh-CN"/>
        </w:rPr>
        <w:t>Option 1: UE Context Forwarded to the Next Satellite.</w:t>
      </w:r>
      <w:r>
        <w:rPr>
          <w:lang w:val="en-US" w:eastAsia="zh-CN"/>
        </w:rPr>
        <w:t> There are multiple ways to implement this option:</w:t>
      </w:r>
    </w:p>
    <w:p w14:paraId="41E19A15">
      <w:pPr>
        <w:numPr>
          <w:ilvl w:val="0"/>
          <w:numId w:val="5"/>
        </w:numPr>
        <w:rPr>
          <w:lang w:val="en-US" w:eastAsia="zh-CN"/>
        </w:rPr>
      </w:pPr>
      <w:r>
        <w:rPr>
          <w:b/>
          <w:bCs/>
          <w:lang w:val="en-US" w:eastAsia="zh-CN"/>
        </w:rPr>
        <w:t>Option 1-1: Context forward by RNA update</w:t>
      </w:r>
      <w:r>
        <w:rPr>
          <w:lang w:val="en-US" w:eastAsia="zh-CN"/>
        </w:rPr>
        <w:t>: The RNA can be configured to cover the same area as the satellite. If the UE moves out of the RNA (when the serving satellite changes), it will initiate an RNA update, allowing for UE anchor relocation.</w:t>
      </w:r>
    </w:p>
    <w:p w14:paraId="06E0F884">
      <w:pPr>
        <w:numPr>
          <w:ilvl w:val="0"/>
          <w:numId w:val="5"/>
        </w:numPr>
        <w:rPr>
          <w:lang w:val="en-US" w:eastAsia="zh-CN"/>
        </w:rPr>
      </w:pPr>
      <w:r>
        <w:rPr>
          <w:b/>
          <w:bCs/>
          <w:lang w:val="en-US" w:eastAsia="zh-CN"/>
        </w:rPr>
        <w:t>Option 1-2: Context forward by RAN paging</w:t>
      </w:r>
      <w:r>
        <w:rPr>
          <w:lang w:val="en-US" w:eastAsia="zh-CN"/>
        </w:rPr>
        <w:t>: If the satellite moves out of an area, the last serving gNB can initiate RAN paging to relocate the UE context to the next gNB.</w:t>
      </w:r>
    </w:p>
    <w:p w14:paraId="7FAA8E1B">
      <w:pPr>
        <w:rPr>
          <w:lang w:eastAsia="zh-CN"/>
        </w:rPr>
      </w:pPr>
      <w:r>
        <w:rPr>
          <w:lang w:eastAsia="zh-CN"/>
        </w:rPr>
        <w:t>Both options can be realized using existing mechanisms in TS 38.300 [2] but will cause signaling storms due to the large number of UEs in a satellite coverage area needs to be woken up, leading to frequent UE resumption, which contradicts the initial goal of conserving battery life.</w:t>
      </w:r>
    </w:p>
    <w:p w14:paraId="4D1A9DD0">
      <w:r>
        <w:rPr>
          <w:b/>
          <w:bCs/>
          <w:lang w:val="en-US" w:eastAsia="zh-CN"/>
        </w:rPr>
        <w:t>Option 2: UE Context Kept on a Fixed Node (On-Ground gNB or AMF) </w:t>
      </w:r>
      <w:r>
        <w:t>The goal is to maintain the UE context on the ground to minimize signaling overhead and latency, and to prevent frequent wake-ups of the UE, which aligns with the purpose of the inactive state. For the security issue, i.e., how the network verifies the UE is authorized, we think it can be done by the on-ground gNB or AMF with the security information received in UE context. There are two sub-options:</w:t>
      </w:r>
    </w:p>
    <w:p w14:paraId="11252615">
      <w:pPr>
        <w:numPr>
          <w:ilvl w:val="0"/>
          <w:numId w:val="6"/>
        </w:numPr>
        <w:rPr>
          <w:lang w:val="en-US" w:eastAsia="zh-CN"/>
        </w:rPr>
      </w:pPr>
      <w:r>
        <w:rPr>
          <w:b/>
          <w:bCs/>
          <w:lang w:val="en-US" w:eastAsia="zh-CN"/>
        </w:rPr>
        <w:t>Option 2-1: UE Context Relocated to an On-Ground gNB</w:t>
      </w:r>
      <w:r>
        <w:rPr>
          <w:lang w:val="en-US" w:eastAsia="zh-CN"/>
        </w:rPr>
        <w:t>: The serving gNB can relocate the UE context to an on-ground gNB. The resume information (e.g., I-RNTI) is generated by the anchor gNB. The serving gNB then releases the UE to the Inactive state. When the UE resumes, it uses the resume information generated by the anchor gNB.</w:t>
      </w:r>
    </w:p>
    <w:p w14:paraId="5932AE39">
      <w:pPr>
        <w:ind w:left="720"/>
        <w:rPr>
          <w:lang w:val="en-US" w:eastAsia="zh-CN"/>
        </w:rPr>
      </w:pPr>
      <w:r>
        <w:object>
          <v:shape id="_x0000_i1025" o:spt="75" type="#_x0000_t75" style="height:167.15pt;width:415.7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8529C33">
      <w:pPr>
        <w:numPr>
          <w:ilvl w:val="0"/>
          <w:numId w:val="6"/>
        </w:numPr>
        <w:rPr>
          <w:lang w:val="en-US" w:eastAsia="zh-CN"/>
        </w:rPr>
      </w:pPr>
      <w:r>
        <w:rPr>
          <w:b/>
          <w:bCs/>
          <w:lang w:val="en-US" w:eastAsia="zh-CN"/>
        </w:rPr>
        <w:t>Option 2-2: UE Context Stored in On-Ground AMF</w:t>
      </w:r>
      <w:r>
        <w:rPr>
          <w:lang w:val="en-US" w:eastAsia="zh-CN"/>
        </w:rPr>
        <w:t>: Unlike RRC idle UE, both NAS and AS contexts are kept, allowing for faster resumption from the UE-to-CN perspective. The serving gNB transfers the UE AS context to the AMF and sends the UE to the RRC Inactive state. The I-RNTI can still be used as resume ID, in which the bits for gNB ID can be mapped to AMF information by implementation or via OAM thus, the new serving gNB can then find the right AMF to retrieve the UE context. New procedures  are needed to support UE AS context transfer and retrieval.</w:t>
      </w:r>
    </w:p>
    <w:p w14:paraId="643EFBAF">
      <w:pPr>
        <w:ind w:left="720"/>
        <w:rPr>
          <w:lang w:val="en-US" w:eastAsia="zh-CN"/>
        </w:rPr>
      </w:pPr>
      <w:r>
        <w:object>
          <v:shape id="_x0000_i1026" o:spt="75" type="#_x0000_t75" style="height:215.35pt;width:401.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5F4A5A64">
      <w:pPr>
        <w:rPr>
          <w:lang w:eastAsia="zh-CN"/>
        </w:rPr>
      </w:pPr>
      <w:r>
        <w:rPr>
          <w:b/>
          <w:bCs/>
          <w:lang w:eastAsia="zh-CN"/>
        </w:rPr>
        <w:t>Option 3: UE Context Kept in the Last Serving gNB with NG-Based UE Context Retrieval. </w:t>
      </w:r>
      <w:r>
        <w:rPr>
          <w:lang w:eastAsia="zh-CN"/>
        </w:rPr>
        <w:t>Similar to NG-based handover, the UE context may be retrieved via the CN. However, this may take a long time due to the distance between LEO1 and LEO2 satellites, potentially involving inter-AMF interactions if the last serving gNB and the new serving gNB connect to different AMFs. This solution may result in long resume times, which contradicts the goal of reducing setup latency for inactive UEs.</w:t>
      </w:r>
    </w:p>
    <w:p w14:paraId="427A84CC">
      <w:pPr>
        <w:jc w:val="center"/>
        <w:rPr>
          <w:lang w:eastAsia="zh-CN"/>
        </w:rPr>
      </w:pPr>
      <w:r>
        <w:object>
          <v:shape id="_x0000_i1027" o:spt="75" type="#_x0000_t75" style="height:200.05pt;width:382.2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14:paraId="7145511C">
      <w:pPr>
        <w:rPr>
          <w:lang w:eastAsia="zh-CN"/>
        </w:rPr>
      </w:pPr>
      <w:r>
        <w:rPr>
          <w:rFonts w:hint="eastAsia"/>
          <w:lang w:eastAsia="zh-CN"/>
        </w:rPr>
        <w:t>T</w:t>
      </w:r>
      <w:r>
        <w:rPr>
          <w:lang w:eastAsia="zh-CN"/>
        </w:rPr>
        <w:t xml:space="preserve">he following table summarize the issues and possible spec impacts for each option.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3"/>
        <w:gridCol w:w="2525"/>
        <w:gridCol w:w="4533"/>
      </w:tblGrid>
      <w:tr w14:paraId="230B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2573" w:type="dxa"/>
            <w:vAlign w:val="center"/>
          </w:tcPr>
          <w:p w14:paraId="0B45988F">
            <w:pPr>
              <w:jc w:val="center"/>
              <w:rPr>
                <w:rFonts w:ascii="Cambria" w:hAnsi="Cambria"/>
                <w:lang w:eastAsia="zh-CN"/>
              </w:rPr>
            </w:pPr>
            <w:r>
              <w:rPr>
                <w:rFonts w:ascii="Cambria" w:hAnsi="Cambria"/>
                <w:lang w:eastAsia="zh-CN"/>
              </w:rPr>
              <w:t>Options</w:t>
            </w:r>
          </w:p>
        </w:tc>
        <w:tc>
          <w:tcPr>
            <w:tcW w:w="2525" w:type="dxa"/>
          </w:tcPr>
          <w:p w14:paraId="07FA6352">
            <w:pPr>
              <w:jc w:val="center"/>
              <w:rPr>
                <w:rFonts w:ascii="Cambria" w:hAnsi="Cambria"/>
                <w:lang w:eastAsia="zh-CN"/>
              </w:rPr>
            </w:pPr>
            <w:r>
              <w:rPr>
                <w:rFonts w:ascii="Cambria" w:hAnsi="Cambria"/>
                <w:lang w:eastAsia="zh-CN"/>
              </w:rPr>
              <w:t>Issues</w:t>
            </w:r>
          </w:p>
        </w:tc>
        <w:tc>
          <w:tcPr>
            <w:tcW w:w="4533" w:type="dxa"/>
            <w:vAlign w:val="center"/>
          </w:tcPr>
          <w:p w14:paraId="2BC0EB33">
            <w:pPr>
              <w:jc w:val="center"/>
              <w:rPr>
                <w:rFonts w:ascii="Cambria" w:hAnsi="Cambria"/>
                <w:lang w:eastAsia="zh-CN"/>
              </w:rPr>
            </w:pPr>
            <w:r>
              <w:rPr>
                <w:rFonts w:ascii="Cambria" w:hAnsi="Cambria"/>
                <w:lang w:eastAsia="zh-CN"/>
              </w:rPr>
              <w:t xml:space="preserve">Possible Impacts </w:t>
            </w:r>
          </w:p>
        </w:tc>
      </w:tr>
      <w:tr w14:paraId="2442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573" w:type="dxa"/>
            <w:vAlign w:val="center"/>
          </w:tcPr>
          <w:p w14:paraId="181E7D7F">
            <w:pPr>
              <w:jc w:val="both"/>
              <w:rPr>
                <w:rFonts w:ascii="Cambria" w:hAnsi="Cambria"/>
                <w:lang w:eastAsia="zh-CN"/>
              </w:rPr>
            </w:pPr>
            <w:r>
              <w:rPr>
                <w:rFonts w:ascii="Cambria" w:hAnsi="Cambria"/>
                <w:lang w:eastAsia="zh-CN"/>
              </w:rPr>
              <w:t>Option 1 Context forward to next satellite by RNA Update or RAN Paging</w:t>
            </w:r>
          </w:p>
        </w:tc>
        <w:tc>
          <w:tcPr>
            <w:tcW w:w="2525" w:type="dxa"/>
            <w:vAlign w:val="center"/>
          </w:tcPr>
          <w:p w14:paraId="64C13864">
            <w:pPr>
              <w:jc w:val="both"/>
              <w:rPr>
                <w:rFonts w:ascii="Cambria" w:hAnsi="Cambria"/>
                <w:lang w:eastAsia="zh-CN"/>
              </w:rPr>
            </w:pPr>
            <w:r>
              <w:rPr>
                <w:rFonts w:ascii="Cambria" w:hAnsi="Cambria"/>
                <w:lang w:eastAsia="zh-CN"/>
              </w:rPr>
              <w:t>Rely on the ISL availability, have signalling storm, and UEs are woken up frequently.</w:t>
            </w:r>
          </w:p>
        </w:tc>
        <w:tc>
          <w:tcPr>
            <w:tcW w:w="4533" w:type="dxa"/>
            <w:vAlign w:val="center"/>
          </w:tcPr>
          <w:p w14:paraId="639D4A90">
            <w:pPr>
              <w:jc w:val="both"/>
              <w:rPr>
                <w:rFonts w:ascii="Cambria" w:hAnsi="Cambria"/>
                <w:lang w:eastAsia="zh-CN"/>
              </w:rPr>
            </w:pPr>
            <w:r>
              <w:rPr>
                <w:rFonts w:ascii="Cambria" w:hAnsi="Cambria"/>
                <w:lang w:eastAsia="zh-CN"/>
              </w:rPr>
              <w:t>Stage2 impacts</w:t>
            </w:r>
          </w:p>
        </w:tc>
      </w:tr>
      <w:tr w14:paraId="13BE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2573" w:type="dxa"/>
            <w:vAlign w:val="center"/>
          </w:tcPr>
          <w:p w14:paraId="22A75033">
            <w:pPr>
              <w:jc w:val="both"/>
              <w:rPr>
                <w:rFonts w:ascii="Cambria" w:hAnsi="Cambria"/>
                <w:lang w:eastAsia="zh-CN"/>
              </w:rPr>
            </w:pPr>
            <w:r>
              <w:rPr>
                <w:rFonts w:ascii="Cambria" w:hAnsi="Cambria"/>
                <w:lang w:eastAsia="zh-CN"/>
              </w:rPr>
              <w:t>Option 2, UE context is kept on a fixed node</w:t>
            </w:r>
          </w:p>
        </w:tc>
        <w:tc>
          <w:tcPr>
            <w:tcW w:w="2525" w:type="dxa"/>
            <w:vAlign w:val="center"/>
          </w:tcPr>
          <w:p w14:paraId="07BC774B">
            <w:pPr>
              <w:jc w:val="both"/>
              <w:rPr>
                <w:rFonts w:ascii="Cambria" w:hAnsi="Cambria"/>
                <w:lang w:eastAsia="zh-CN"/>
              </w:rPr>
            </w:pPr>
            <w:r>
              <w:rPr>
                <w:rFonts w:ascii="Cambria" w:hAnsi="Cambria"/>
                <w:lang w:eastAsia="zh-CN"/>
              </w:rPr>
              <w:t>No issue</w:t>
            </w:r>
          </w:p>
        </w:tc>
        <w:tc>
          <w:tcPr>
            <w:tcW w:w="4533" w:type="dxa"/>
            <w:vAlign w:val="center"/>
          </w:tcPr>
          <w:p w14:paraId="643925A7">
            <w:pPr>
              <w:jc w:val="both"/>
              <w:rPr>
                <w:rFonts w:ascii="Cambria" w:hAnsi="Cambria"/>
                <w:lang w:eastAsia="zh-CN"/>
              </w:rPr>
            </w:pPr>
            <w:r>
              <w:rPr>
                <w:rFonts w:ascii="Cambria" w:hAnsi="Cambria"/>
                <w:lang w:eastAsia="zh-CN"/>
              </w:rPr>
              <w:t>For option 2-1, Xn impacts, introduce new procedures to relocate UE context without UE impacts</w:t>
            </w:r>
          </w:p>
          <w:p w14:paraId="7F66545A">
            <w:pPr>
              <w:jc w:val="both"/>
              <w:rPr>
                <w:rFonts w:ascii="Cambria" w:hAnsi="Cambria"/>
                <w:lang w:eastAsia="zh-CN"/>
              </w:rPr>
            </w:pPr>
            <w:r>
              <w:rPr>
                <w:rFonts w:ascii="Cambria" w:hAnsi="Cambria"/>
                <w:lang w:eastAsia="zh-CN"/>
              </w:rPr>
              <w:t>For option 2-2, NG impacts, introduce two procedures to transfer UE context and retrieve UE context</w:t>
            </w:r>
          </w:p>
        </w:tc>
      </w:tr>
      <w:tr w14:paraId="1A7AD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573" w:type="dxa"/>
            <w:vAlign w:val="center"/>
          </w:tcPr>
          <w:p w14:paraId="1FC93DCB">
            <w:pPr>
              <w:jc w:val="both"/>
              <w:rPr>
                <w:rFonts w:ascii="Cambria" w:hAnsi="Cambria"/>
                <w:lang w:eastAsia="zh-CN"/>
              </w:rPr>
            </w:pPr>
            <w:r>
              <w:rPr>
                <w:rFonts w:ascii="Cambria" w:hAnsi="Cambria"/>
                <w:lang w:eastAsia="zh-CN"/>
              </w:rPr>
              <w:t>Option 3 UE context is kept in the last serving gNB, context retrieve via NG</w:t>
            </w:r>
          </w:p>
        </w:tc>
        <w:tc>
          <w:tcPr>
            <w:tcW w:w="2525" w:type="dxa"/>
            <w:vAlign w:val="center"/>
          </w:tcPr>
          <w:p w14:paraId="06544AD9">
            <w:pPr>
              <w:jc w:val="both"/>
              <w:rPr>
                <w:rFonts w:ascii="Cambria" w:hAnsi="Cambria"/>
                <w:lang w:eastAsia="zh-CN"/>
              </w:rPr>
            </w:pPr>
            <w:r>
              <w:rPr>
                <w:rFonts w:ascii="Cambria" w:hAnsi="Cambria"/>
                <w:lang w:eastAsia="zh-CN"/>
              </w:rPr>
              <w:t>May have large resume latency</w:t>
            </w:r>
          </w:p>
        </w:tc>
        <w:tc>
          <w:tcPr>
            <w:tcW w:w="4533" w:type="dxa"/>
            <w:vAlign w:val="center"/>
          </w:tcPr>
          <w:p w14:paraId="6AC81FDA">
            <w:pPr>
              <w:jc w:val="both"/>
              <w:rPr>
                <w:rFonts w:ascii="Cambria" w:hAnsi="Cambria"/>
                <w:lang w:eastAsia="zh-CN"/>
              </w:rPr>
            </w:pPr>
            <w:r>
              <w:rPr>
                <w:rFonts w:ascii="Cambria" w:hAnsi="Cambria"/>
                <w:lang w:eastAsia="zh-CN"/>
              </w:rPr>
              <w:t>NG impacts, similar to NG-based handover, introduce two procedures to retrieve UE context; impacts on inter-AMF interactions.</w:t>
            </w:r>
          </w:p>
        </w:tc>
      </w:tr>
    </w:tbl>
    <w:p w14:paraId="74A923CF">
      <w:pPr>
        <w:rPr>
          <w:lang w:eastAsia="zh-CN"/>
        </w:rPr>
      </w:pPr>
    </w:p>
    <w:p w14:paraId="17CFA627">
      <w:pPr>
        <w:rPr>
          <w:b/>
          <w:bCs/>
          <w:lang w:val="en-US" w:eastAsia="zh-CN"/>
        </w:rPr>
      </w:pPr>
      <w:r>
        <w:rPr>
          <w:b/>
          <w:bCs/>
          <w:lang w:val="en-US" w:eastAsia="zh-CN"/>
        </w:rPr>
        <w:t>Observation 1: Forwarding the UE context to the next satellite can be achieved through RNA updates or RAN paging with appropriate network configuration. However, this approach may lead to signaling storms and increased UE power consumption due to frequent wake-ups.</w:t>
      </w:r>
    </w:p>
    <w:p w14:paraId="1425D3A7">
      <w:pPr>
        <w:rPr>
          <w:b/>
          <w:bCs/>
          <w:lang w:val="en-US" w:eastAsia="zh-CN"/>
        </w:rPr>
      </w:pPr>
      <w:r>
        <w:rPr>
          <w:b/>
          <w:bCs/>
          <w:lang w:val="en-US" w:eastAsia="zh-CN"/>
        </w:rPr>
        <w:t>Observation 2: Keeping the UE context on a fixed node can reduce signaling overhead and prevent frequent wake-ups, aligning with the initial intention of the inactive state.</w:t>
      </w:r>
    </w:p>
    <w:p w14:paraId="0A356AF7">
      <w:pPr>
        <w:rPr>
          <w:b/>
          <w:bCs/>
          <w:lang w:val="en-US" w:eastAsia="zh-CN"/>
        </w:rPr>
      </w:pPr>
      <w:r>
        <w:rPr>
          <w:b/>
          <w:bCs/>
          <w:lang w:val="en-US" w:eastAsia="zh-CN"/>
        </w:rPr>
        <w:t>Observation 3: Retaining the UE context in the last serving gNB with NG-based UE context retrieval may result in long resume times and significant impacts between AMFs.</w:t>
      </w:r>
    </w:p>
    <w:p w14:paraId="3E55292C">
      <w:pPr>
        <w:rPr>
          <w:b/>
          <w:bCs/>
          <w:lang w:val="en-US" w:eastAsia="zh-CN"/>
        </w:rPr>
      </w:pPr>
      <w:r>
        <w:rPr>
          <w:b/>
          <w:bCs/>
          <w:lang w:val="en-US" w:eastAsia="zh-CN"/>
        </w:rPr>
        <w:t>Proposal 1: RAN3 agrees that the UE context can be kept on a fixed node for NTN Inactive UE (for the non-GEO scenario) and suggests further discussion on Xn-based and NG-based solutions.</w:t>
      </w:r>
    </w:p>
    <w:p w14:paraId="64195399">
      <w:pPr>
        <w:pStyle w:val="2"/>
      </w:pPr>
      <w:r>
        <w:t>3</w:t>
      </w:r>
      <w:r>
        <w:tab/>
      </w:r>
      <w:r>
        <w:t>Conclusion</w:t>
      </w:r>
    </w:p>
    <w:p w14:paraId="3AA913E3">
      <w:r>
        <w:t xml:space="preserve">Based on the discussion, we have the following observations and proposals. </w:t>
      </w:r>
    </w:p>
    <w:p w14:paraId="036CB63F">
      <w:pPr>
        <w:rPr>
          <w:b/>
          <w:bCs/>
          <w:lang w:val="en-US" w:eastAsia="zh-CN"/>
        </w:rPr>
      </w:pPr>
      <w:r>
        <w:rPr>
          <w:b/>
          <w:bCs/>
          <w:lang w:val="en-US" w:eastAsia="zh-CN"/>
        </w:rPr>
        <w:t>Observation 1: Forwarding the UE context to the next satellite can be achieved through RNA updates or RAN paging with appropriate network configuration. However, this approach may lead to signaling storms and increased UE power consumption due to frequent wake-ups.</w:t>
      </w:r>
    </w:p>
    <w:p w14:paraId="7C984D00">
      <w:pPr>
        <w:rPr>
          <w:b/>
          <w:bCs/>
          <w:lang w:val="en-US" w:eastAsia="zh-CN"/>
        </w:rPr>
      </w:pPr>
      <w:r>
        <w:rPr>
          <w:b/>
          <w:bCs/>
          <w:lang w:val="en-US" w:eastAsia="zh-CN"/>
        </w:rPr>
        <w:t>Observation 2: Keeping the UE context on a fixed node can reduce signaling overhead and prevent frequent wake-ups, aligning with the initial intention of the inactive state.</w:t>
      </w:r>
    </w:p>
    <w:p w14:paraId="79CEE917">
      <w:pPr>
        <w:rPr>
          <w:b/>
          <w:bCs/>
          <w:lang w:val="en-US" w:eastAsia="zh-CN"/>
        </w:rPr>
      </w:pPr>
      <w:r>
        <w:rPr>
          <w:b/>
          <w:bCs/>
          <w:lang w:val="en-US" w:eastAsia="zh-CN"/>
        </w:rPr>
        <w:t>Observation 3: Retaining the UE context in the last serving gNB with NG-based UE context retrieval may result in long resume times and significant impacts between AMFs.</w:t>
      </w:r>
    </w:p>
    <w:p w14:paraId="11D10D5F">
      <w:pPr>
        <w:rPr>
          <w:b/>
          <w:bCs/>
          <w:lang w:val="en-US" w:eastAsia="zh-CN"/>
        </w:rPr>
      </w:pPr>
      <w:r>
        <w:rPr>
          <w:b/>
          <w:bCs/>
          <w:lang w:val="en-US" w:eastAsia="zh-CN"/>
        </w:rPr>
        <w:t>Proposal 1: RAN3 agrees that the UE context can be kept on a fixed node for NTN Inactive UE (for the non-GEO scenario) and suggests further discussion on Xn-based and NG-based solutions.</w:t>
      </w:r>
    </w:p>
    <w:p w14:paraId="1BFAAC49">
      <w:pPr>
        <w:pStyle w:val="2"/>
      </w:pPr>
      <w:r>
        <w:t>4</w:t>
      </w:r>
      <w:r>
        <w:tab/>
      </w:r>
      <w:r>
        <w:t>Reference</w:t>
      </w:r>
    </w:p>
    <w:p w14:paraId="7AB03DE3">
      <w:pPr>
        <w:rPr>
          <w:lang w:eastAsia="zh-CN"/>
        </w:rPr>
      </w:pPr>
      <w:r>
        <w:rPr>
          <w:rFonts w:hint="eastAsia"/>
          <w:lang w:eastAsia="zh-CN"/>
        </w:rPr>
        <w:t>[</w:t>
      </w:r>
      <w:r>
        <w:rPr>
          <w:lang w:eastAsia="zh-CN"/>
        </w:rPr>
        <w:t>1]</w:t>
      </w:r>
      <w:r>
        <w:rPr>
          <w:rFonts w:hint="eastAsia"/>
          <w:lang w:eastAsia="zh-CN"/>
        </w:rPr>
        <w:t xml:space="preserve"> </w:t>
      </w:r>
      <w:r>
        <w:rPr>
          <w:lang w:eastAsia="zh-CN"/>
        </w:rPr>
        <w:t>R3-247316, Support of Inactive UE in NTN, Xiaomi, Qualcomm Incorporated, Nokia, Nokia Shanghai Bell, China Telecom, Lenovo</w:t>
      </w:r>
    </w:p>
    <w:p w14:paraId="564337B5">
      <w:pPr>
        <w:rPr>
          <w:lang w:eastAsia="zh-CN"/>
        </w:rPr>
      </w:pPr>
      <w:r>
        <w:t>[2]TS 38.300, NR; NR and NG-RAN Overall description; Stage-2</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E1BC0"/>
    <w:multiLevelType w:val="multilevel"/>
    <w:tmpl w:val="0F1E1BC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19A80662"/>
    <w:multiLevelType w:val="multilevel"/>
    <w:tmpl w:val="19A8066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0501E44"/>
    <w:multiLevelType w:val="multilevel"/>
    <w:tmpl w:val="30501E44"/>
    <w:lvl w:ilvl="0" w:tentative="0">
      <w:start w:val="1"/>
      <w:numFmt w:val="decimal"/>
      <w:pStyle w:val="163"/>
      <w:lvlText w:val="Proposal %1:  "/>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F040E68"/>
    <w:multiLevelType w:val="multilevel"/>
    <w:tmpl w:val="4F040E68"/>
    <w:lvl w:ilvl="0" w:tentative="0">
      <w:start w:val="1"/>
      <w:numFmt w:val="decimal"/>
      <w:pStyle w:val="160"/>
      <w:lvlText w:val="Observation %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6FF264E4"/>
    <w:multiLevelType w:val="multilevel"/>
    <w:tmpl w:val="6FF264E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01"/>
    <w:rsid w:val="00001ACE"/>
    <w:rsid w:val="00004E3D"/>
    <w:rsid w:val="000054C7"/>
    <w:rsid w:val="00007039"/>
    <w:rsid w:val="00007633"/>
    <w:rsid w:val="00010447"/>
    <w:rsid w:val="00021025"/>
    <w:rsid w:val="000277C6"/>
    <w:rsid w:val="00027B47"/>
    <w:rsid w:val="00027D1F"/>
    <w:rsid w:val="00030FD4"/>
    <w:rsid w:val="0003263B"/>
    <w:rsid w:val="00033397"/>
    <w:rsid w:val="000342C7"/>
    <w:rsid w:val="00040095"/>
    <w:rsid w:val="00040F2E"/>
    <w:rsid w:val="000432BE"/>
    <w:rsid w:val="000434B1"/>
    <w:rsid w:val="00044BAF"/>
    <w:rsid w:val="00045D5B"/>
    <w:rsid w:val="00050C8D"/>
    <w:rsid w:val="0005563E"/>
    <w:rsid w:val="00060EF1"/>
    <w:rsid w:val="0006134F"/>
    <w:rsid w:val="00061D3E"/>
    <w:rsid w:val="00067D50"/>
    <w:rsid w:val="0007020B"/>
    <w:rsid w:val="00070C1E"/>
    <w:rsid w:val="00071ADB"/>
    <w:rsid w:val="00077009"/>
    <w:rsid w:val="00080512"/>
    <w:rsid w:val="00081E95"/>
    <w:rsid w:val="00083D7A"/>
    <w:rsid w:val="00083F0D"/>
    <w:rsid w:val="000904E9"/>
    <w:rsid w:val="00096533"/>
    <w:rsid w:val="00096CCA"/>
    <w:rsid w:val="000971F0"/>
    <w:rsid w:val="000A0D66"/>
    <w:rsid w:val="000A1743"/>
    <w:rsid w:val="000A1F85"/>
    <w:rsid w:val="000A63E1"/>
    <w:rsid w:val="000A7363"/>
    <w:rsid w:val="000B2948"/>
    <w:rsid w:val="000B7BCF"/>
    <w:rsid w:val="000C1506"/>
    <w:rsid w:val="000C3E78"/>
    <w:rsid w:val="000C556D"/>
    <w:rsid w:val="000D376D"/>
    <w:rsid w:val="000D58AB"/>
    <w:rsid w:val="000E383B"/>
    <w:rsid w:val="000E3D25"/>
    <w:rsid w:val="000E64A6"/>
    <w:rsid w:val="000F0435"/>
    <w:rsid w:val="000F1DB2"/>
    <w:rsid w:val="000F28D7"/>
    <w:rsid w:val="000F3946"/>
    <w:rsid w:val="000F4985"/>
    <w:rsid w:val="000F693F"/>
    <w:rsid w:val="001033A8"/>
    <w:rsid w:val="00104879"/>
    <w:rsid w:val="00104AD1"/>
    <w:rsid w:val="001070BE"/>
    <w:rsid w:val="001075B7"/>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2F83"/>
    <w:rsid w:val="001549DD"/>
    <w:rsid w:val="00155FF2"/>
    <w:rsid w:val="0015741D"/>
    <w:rsid w:val="001601AE"/>
    <w:rsid w:val="00170A56"/>
    <w:rsid w:val="001744AC"/>
    <w:rsid w:val="0017527C"/>
    <w:rsid w:val="00190CAC"/>
    <w:rsid w:val="001923EC"/>
    <w:rsid w:val="001930CD"/>
    <w:rsid w:val="001946E8"/>
    <w:rsid w:val="00194CD0"/>
    <w:rsid w:val="0019788D"/>
    <w:rsid w:val="001B08B3"/>
    <w:rsid w:val="001B0A88"/>
    <w:rsid w:val="001B331F"/>
    <w:rsid w:val="001B5DF8"/>
    <w:rsid w:val="001B6B60"/>
    <w:rsid w:val="001B6D36"/>
    <w:rsid w:val="001B705D"/>
    <w:rsid w:val="001B77DD"/>
    <w:rsid w:val="001C0F7C"/>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499"/>
    <w:rsid w:val="002747EC"/>
    <w:rsid w:val="002855BF"/>
    <w:rsid w:val="002868BC"/>
    <w:rsid w:val="0029434D"/>
    <w:rsid w:val="00294C07"/>
    <w:rsid w:val="002953B2"/>
    <w:rsid w:val="00295576"/>
    <w:rsid w:val="00297AEC"/>
    <w:rsid w:val="002A0323"/>
    <w:rsid w:val="002A054F"/>
    <w:rsid w:val="002A0CFD"/>
    <w:rsid w:val="002A4DDC"/>
    <w:rsid w:val="002C47B6"/>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0F7D"/>
    <w:rsid w:val="00312076"/>
    <w:rsid w:val="0031275F"/>
    <w:rsid w:val="00316B8D"/>
    <w:rsid w:val="003172DC"/>
    <w:rsid w:val="00321D4B"/>
    <w:rsid w:val="003238E8"/>
    <w:rsid w:val="00326069"/>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2C2B"/>
    <w:rsid w:val="00395231"/>
    <w:rsid w:val="00396836"/>
    <w:rsid w:val="003A08E9"/>
    <w:rsid w:val="003A1733"/>
    <w:rsid w:val="003A1B90"/>
    <w:rsid w:val="003A3E1F"/>
    <w:rsid w:val="003A525D"/>
    <w:rsid w:val="003B3FB3"/>
    <w:rsid w:val="003B5FD6"/>
    <w:rsid w:val="003B61E3"/>
    <w:rsid w:val="003C41D2"/>
    <w:rsid w:val="003C4E37"/>
    <w:rsid w:val="003C5624"/>
    <w:rsid w:val="003D622D"/>
    <w:rsid w:val="003D6BA2"/>
    <w:rsid w:val="003E1194"/>
    <w:rsid w:val="003E16BE"/>
    <w:rsid w:val="003E23BB"/>
    <w:rsid w:val="003E7223"/>
    <w:rsid w:val="003F0EA3"/>
    <w:rsid w:val="003F51B1"/>
    <w:rsid w:val="00401855"/>
    <w:rsid w:val="00401B63"/>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60B2"/>
    <w:rsid w:val="00491FB4"/>
    <w:rsid w:val="004A0AA2"/>
    <w:rsid w:val="004A372C"/>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06C78"/>
    <w:rsid w:val="00510A7B"/>
    <w:rsid w:val="0051142E"/>
    <w:rsid w:val="005153FE"/>
    <w:rsid w:val="005240A4"/>
    <w:rsid w:val="00531C12"/>
    <w:rsid w:val="005323B3"/>
    <w:rsid w:val="005327E0"/>
    <w:rsid w:val="00534DA0"/>
    <w:rsid w:val="005361A0"/>
    <w:rsid w:val="005369EB"/>
    <w:rsid w:val="00536FCD"/>
    <w:rsid w:val="00540B31"/>
    <w:rsid w:val="00543E6C"/>
    <w:rsid w:val="00544635"/>
    <w:rsid w:val="00544EE2"/>
    <w:rsid w:val="00546CFF"/>
    <w:rsid w:val="00552076"/>
    <w:rsid w:val="00552D49"/>
    <w:rsid w:val="00554621"/>
    <w:rsid w:val="0055488A"/>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35E"/>
    <w:rsid w:val="00630C95"/>
    <w:rsid w:val="006327AD"/>
    <w:rsid w:val="006337E0"/>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857E4"/>
    <w:rsid w:val="00685FF0"/>
    <w:rsid w:val="00694CEB"/>
    <w:rsid w:val="00697E26"/>
    <w:rsid w:val="006A3625"/>
    <w:rsid w:val="006A3B6F"/>
    <w:rsid w:val="006A53E4"/>
    <w:rsid w:val="006A6373"/>
    <w:rsid w:val="006A72A3"/>
    <w:rsid w:val="006A7C24"/>
    <w:rsid w:val="006B0836"/>
    <w:rsid w:val="006B130F"/>
    <w:rsid w:val="006B36A5"/>
    <w:rsid w:val="006B3E5D"/>
    <w:rsid w:val="006B62CA"/>
    <w:rsid w:val="006B75FF"/>
    <w:rsid w:val="006C03CE"/>
    <w:rsid w:val="006C3F9B"/>
    <w:rsid w:val="006C4235"/>
    <w:rsid w:val="006C42E3"/>
    <w:rsid w:val="006C54B1"/>
    <w:rsid w:val="006C54B5"/>
    <w:rsid w:val="006D1E24"/>
    <w:rsid w:val="006D5175"/>
    <w:rsid w:val="006E046B"/>
    <w:rsid w:val="006E10A9"/>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5595"/>
    <w:rsid w:val="007304F5"/>
    <w:rsid w:val="00731F37"/>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0534"/>
    <w:rsid w:val="00761841"/>
    <w:rsid w:val="00765C68"/>
    <w:rsid w:val="00766526"/>
    <w:rsid w:val="00767CDA"/>
    <w:rsid w:val="0077054F"/>
    <w:rsid w:val="00773C76"/>
    <w:rsid w:val="00774151"/>
    <w:rsid w:val="00774846"/>
    <w:rsid w:val="00776271"/>
    <w:rsid w:val="00776AC6"/>
    <w:rsid w:val="00777A21"/>
    <w:rsid w:val="00781F0F"/>
    <w:rsid w:val="007847F6"/>
    <w:rsid w:val="007852F5"/>
    <w:rsid w:val="0078727C"/>
    <w:rsid w:val="007961EA"/>
    <w:rsid w:val="00797225"/>
    <w:rsid w:val="00797D4B"/>
    <w:rsid w:val="007A0BB5"/>
    <w:rsid w:val="007A5B39"/>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2862"/>
    <w:rsid w:val="00894A17"/>
    <w:rsid w:val="00895EFD"/>
    <w:rsid w:val="008975A9"/>
    <w:rsid w:val="00897D9E"/>
    <w:rsid w:val="008A4A6A"/>
    <w:rsid w:val="008A5569"/>
    <w:rsid w:val="008A79DE"/>
    <w:rsid w:val="008B0FF3"/>
    <w:rsid w:val="008B6DCD"/>
    <w:rsid w:val="008C2835"/>
    <w:rsid w:val="008C490B"/>
    <w:rsid w:val="008C62FA"/>
    <w:rsid w:val="008C663E"/>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099"/>
    <w:rsid w:val="009249A1"/>
    <w:rsid w:val="00925466"/>
    <w:rsid w:val="00930437"/>
    <w:rsid w:val="00931C96"/>
    <w:rsid w:val="009321BB"/>
    <w:rsid w:val="00933EAD"/>
    <w:rsid w:val="00942EC2"/>
    <w:rsid w:val="00944F45"/>
    <w:rsid w:val="00945543"/>
    <w:rsid w:val="00952C37"/>
    <w:rsid w:val="00952D8F"/>
    <w:rsid w:val="00954BCB"/>
    <w:rsid w:val="009558ED"/>
    <w:rsid w:val="009561FA"/>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0EB4"/>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06A49"/>
    <w:rsid w:val="00A10F02"/>
    <w:rsid w:val="00A12228"/>
    <w:rsid w:val="00A13B69"/>
    <w:rsid w:val="00A1719A"/>
    <w:rsid w:val="00A2199E"/>
    <w:rsid w:val="00A222D2"/>
    <w:rsid w:val="00A32E45"/>
    <w:rsid w:val="00A363D8"/>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2BB4"/>
    <w:rsid w:val="00A93693"/>
    <w:rsid w:val="00A9671C"/>
    <w:rsid w:val="00AA1C04"/>
    <w:rsid w:val="00AA49F4"/>
    <w:rsid w:val="00AA56FD"/>
    <w:rsid w:val="00AA634D"/>
    <w:rsid w:val="00AA707A"/>
    <w:rsid w:val="00AB6AAB"/>
    <w:rsid w:val="00AB6CFC"/>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0DAB"/>
    <w:rsid w:val="00B4119B"/>
    <w:rsid w:val="00B41851"/>
    <w:rsid w:val="00B41F92"/>
    <w:rsid w:val="00B42422"/>
    <w:rsid w:val="00B458C0"/>
    <w:rsid w:val="00B503D9"/>
    <w:rsid w:val="00B52116"/>
    <w:rsid w:val="00B5424F"/>
    <w:rsid w:val="00B60EDB"/>
    <w:rsid w:val="00B64258"/>
    <w:rsid w:val="00B6745D"/>
    <w:rsid w:val="00B72816"/>
    <w:rsid w:val="00B73C17"/>
    <w:rsid w:val="00B769EA"/>
    <w:rsid w:val="00B8569C"/>
    <w:rsid w:val="00B936A4"/>
    <w:rsid w:val="00B93D89"/>
    <w:rsid w:val="00B94A9D"/>
    <w:rsid w:val="00B967DC"/>
    <w:rsid w:val="00B9775D"/>
    <w:rsid w:val="00B9781E"/>
    <w:rsid w:val="00BA0B7C"/>
    <w:rsid w:val="00BA10CA"/>
    <w:rsid w:val="00BA15B0"/>
    <w:rsid w:val="00BA3B72"/>
    <w:rsid w:val="00BA6680"/>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44EE"/>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0F75"/>
    <w:rsid w:val="00C545DF"/>
    <w:rsid w:val="00C55EB7"/>
    <w:rsid w:val="00C63335"/>
    <w:rsid w:val="00C71D33"/>
    <w:rsid w:val="00C721D9"/>
    <w:rsid w:val="00C74F0A"/>
    <w:rsid w:val="00C805B8"/>
    <w:rsid w:val="00C83885"/>
    <w:rsid w:val="00C85FFB"/>
    <w:rsid w:val="00C866E9"/>
    <w:rsid w:val="00C87A34"/>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8D0"/>
    <w:rsid w:val="00D072EA"/>
    <w:rsid w:val="00D142EB"/>
    <w:rsid w:val="00D16379"/>
    <w:rsid w:val="00D16505"/>
    <w:rsid w:val="00D16F12"/>
    <w:rsid w:val="00D22038"/>
    <w:rsid w:val="00D23014"/>
    <w:rsid w:val="00D31E29"/>
    <w:rsid w:val="00D34A99"/>
    <w:rsid w:val="00D34F04"/>
    <w:rsid w:val="00D36CDC"/>
    <w:rsid w:val="00D37B14"/>
    <w:rsid w:val="00D41B93"/>
    <w:rsid w:val="00D42780"/>
    <w:rsid w:val="00D435B1"/>
    <w:rsid w:val="00D44D2A"/>
    <w:rsid w:val="00D45717"/>
    <w:rsid w:val="00D45D1F"/>
    <w:rsid w:val="00D470EA"/>
    <w:rsid w:val="00D558F7"/>
    <w:rsid w:val="00D5592A"/>
    <w:rsid w:val="00D563CF"/>
    <w:rsid w:val="00D61459"/>
    <w:rsid w:val="00D63AD0"/>
    <w:rsid w:val="00D6498C"/>
    <w:rsid w:val="00D66E3A"/>
    <w:rsid w:val="00D71853"/>
    <w:rsid w:val="00D738D6"/>
    <w:rsid w:val="00D73D5E"/>
    <w:rsid w:val="00D764AE"/>
    <w:rsid w:val="00D80795"/>
    <w:rsid w:val="00D80956"/>
    <w:rsid w:val="00D80BE8"/>
    <w:rsid w:val="00D82682"/>
    <w:rsid w:val="00D82770"/>
    <w:rsid w:val="00D84A4E"/>
    <w:rsid w:val="00D862C5"/>
    <w:rsid w:val="00D864B6"/>
    <w:rsid w:val="00D87E00"/>
    <w:rsid w:val="00D908B4"/>
    <w:rsid w:val="00D90D48"/>
    <w:rsid w:val="00D9134D"/>
    <w:rsid w:val="00D929C1"/>
    <w:rsid w:val="00D92AD7"/>
    <w:rsid w:val="00D92BB1"/>
    <w:rsid w:val="00D97CD9"/>
    <w:rsid w:val="00DA132F"/>
    <w:rsid w:val="00DA1CA9"/>
    <w:rsid w:val="00DA3098"/>
    <w:rsid w:val="00DA4536"/>
    <w:rsid w:val="00DA5329"/>
    <w:rsid w:val="00DA6945"/>
    <w:rsid w:val="00DA7A03"/>
    <w:rsid w:val="00DA7B4A"/>
    <w:rsid w:val="00DB1818"/>
    <w:rsid w:val="00DB60A4"/>
    <w:rsid w:val="00DB6F28"/>
    <w:rsid w:val="00DC1445"/>
    <w:rsid w:val="00DC309B"/>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45A3"/>
    <w:rsid w:val="00E35A33"/>
    <w:rsid w:val="00E37501"/>
    <w:rsid w:val="00E4148D"/>
    <w:rsid w:val="00E46945"/>
    <w:rsid w:val="00E477A3"/>
    <w:rsid w:val="00E51135"/>
    <w:rsid w:val="00E51F8B"/>
    <w:rsid w:val="00E52E91"/>
    <w:rsid w:val="00E54C32"/>
    <w:rsid w:val="00E5537F"/>
    <w:rsid w:val="00E608B5"/>
    <w:rsid w:val="00E62835"/>
    <w:rsid w:val="00E64EDE"/>
    <w:rsid w:val="00E67147"/>
    <w:rsid w:val="00E70688"/>
    <w:rsid w:val="00E77645"/>
    <w:rsid w:val="00E77B04"/>
    <w:rsid w:val="00E826F3"/>
    <w:rsid w:val="00E850C1"/>
    <w:rsid w:val="00E852FF"/>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2144"/>
    <w:rsid w:val="00ED7F72"/>
    <w:rsid w:val="00EE022B"/>
    <w:rsid w:val="00EE0A1E"/>
    <w:rsid w:val="00EE2FE8"/>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3FD1"/>
    <w:rsid w:val="00F653B8"/>
    <w:rsid w:val="00F71331"/>
    <w:rsid w:val="00F7148E"/>
    <w:rsid w:val="00F74886"/>
    <w:rsid w:val="00F76F8F"/>
    <w:rsid w:val="00F90924"/>
    <w:rsid w:val="00F944C0"/>
    <w:rsid w:val="00FA1266"/>
    <w:rsid w:val="00FA1342"/>
    <w:rsid w:val="00FA189A"/>
    <w:rsid w:val="00FA28FD"/>
    <w:rsid w:val="00FA2AEF"/>
    <w:rsid w:val="00FA30DE"/>
    <w:rsid w:val="00FA37A3"/>
    <w:rsid w:val="00FA5EEC"/>
    <w:rsid w:val="00FA64F4"/>
    <w:rsid w:val="00FB0324"/>
    <w:rsid w:val="00FB2BEA"/>
    <w:rsid w:val="00FB3946"/>
    <w:rsid w:val="00FB47D3"/>
    <w:rsid w:val="00FC1192"/>
    <w:rsid w:val="00FC2074"/>
    <w:rsid w:val="00FC4E4D"/>
    <w:rsid w:val="00FC53BF"/>
    <w:rsid w:val="00FC6713"/>
    <w:rsid w:val="00FD3F75"/>
    <w:rsid w:val="00FE2BEB"/>
    <w:rsid w:val="00FE7301"/>
    <w:rsid w:val="00FF0D57"/>
    <w:rsid w:val="00FF1248"/>
    <w:rsid w:val="00FF2EFF"/>
    <w:rsid w:val="00FF4BAA"/>
    <w:rsid w:val="00FF75A6"/>
    <w:rsid w:val="00FF7BCD"/>
    <w:rsid w:val="045A2B19"/>
    <w:rsid w:val="506F7764"/>
    <w:rsid w:val="65F34F95"/>
    <w:rsid w:val="735C5F8D"/>
    <w:rsid w:val="79E8465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59"/>
    <w:qFormat/>
    <w:uiPriority w:val="0"/>
    <w:pPr>
      <w:spacing w:after="120"/>
      <w:jc w:val="both"/>
    </w:pPr>
    <w:rPr>
      <w:rFonts w:eastAsia="MS Mincho"/>
      <w:szCs w:val="24"/>
      <w:lang w:val="en-US"/>
    </w:r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9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character" w:customStyle="1" w:styleId="159">
    <w:name w:val="Body Text Char"/>
    <w:basedOn w:val="47"/>
    <w:link w:val="31"/>
    <w:qFormat/>
    <w:uiPriority w:val="0"/>
    <w:rPr>
      <w:rFonts w:eastAsia="MS Mincho"/>
      <w:szCs w:val="24"/>
      <w:lang w:val="en-US" w:eastAsia="en-US"/>
    </w:rPr>
  </w:style>
  <w:style w:type="paragraph" w:customStyle="1" w:styleId="160">
    <w:name w:val="Observation"/>
    <w:basedOn w:val="95"/>
    <w:next w:val="1"/>
    <w:link w:val="161"/>
    <w:autoRedefine/>
    <w:qFormat/>
    <w:uiPriority w:val="0"/>
    <w:pPr>
      <w:widowControl/>
      <w:numPr>
        <w:ilvl w:val="0"/>
        <w:numId w:val="2"/>
      </w:numPr>
      <w:overflowPunct w:val="0"/>
      <w:autoSpaceDE w:val="0"/>
      <w:autoSpaceDN w:val="0"/>
      <w:adjustRightInd w:val="0"/>
      <w:spacing w:before="240" w:after="240" w:line="276" w:lineRule="auto"/>
      <w:ind w:left="0" w:leftChars="0"/>
      <w:contextualSpacing/>
      <w:textAlignment w:val="baseline"/>
    </w:pPr>
    <w:rPr>
      <w:rFonts w:ascii="Times New Roman" w:hAnsi="Times New Roman" w:eastAsia="Times New Roman"/>
      <w:b/>
      <w:kern w:val="0"/>
      <w:sz w:val="20"/>
      <w:szCs w:val="20"/>
      <w:lang w:val="en-GB" w:eastAsia="en-US"/>
    </w:rPr>
  </w:style>
  <w:style w:type="character" w:customStyle="1" w:styleId="161">
    <w:name w:val="Observation Char"/>
    <w:basedOn w:val="47"/>
    <w:link w:val="160"/>
    <w:qFormat/>
    <w:uiPriority w:val="0"/>
    <w:rPr>
      <w:rFonts w:eastAsia="Times New Roman"/>
      <w:b/>
      <w:lang w:val="en-GB" w:eastAsia="en-US"/>
    </w:rPr>
  </w:style>
  <w:style w:type="character" w:customStyle="1" w:styleId="162">
    <w:name w:val="PropObs Char"/>
    <w:basedOn w:val="47"/>
    <w:link w:val="163"/>
    <w:qFormat/>
    <w:locked/>
    <w:uiPriority w:val="0"/>
    <w:rPr>
      <w:rFonts w:cs="Calibri" w:eastAsiaTheme="minorHAnsi"/>
      <w:b/>
      <w:bCs/>
      <w:sz w:val="22"/>
      <w:szCs w:val="22"/>
      <w:lang w:eastAsia="sv-SE"/>
    </w:rPr>
  </w:style>
  <w:style w:type="paragraph" w:customStyle="1" w:styleId="163">
    <w:name w:val="PropObs"/>
    <w:basedOn w:val="1"/>
    <w:link w:val="162"/>
    <w:qFormat/>
    <w:uiPriority w:val="0"/>
    <w:pPr>
      <w:numPr>
        <w:ilvl w:val="0"/>
        <w:numId w:val="3"/>
      </w:numPr>
      <w:spacing w:after="0"/>
      <w:jc w:val="both"/>
    </w:pPr>
    <w:rPr>
      <w:rFonts w:cs="Calibri" w:eastAsiaTheme="minorHAnsi"/>
      <w:b/>
      <w:bCs/>
      <w:sz w:val="22"/>
      <w:szCs w:val="22"/>
      <w:lang w:val="fr-FR" w:eastAsia="sv-SE"/>
    </w:rPr>
  </w:style>
  <w:style w:type="character" w:customStyle="1" w:styleId="164">
    <w:name w:val="Unresolved Mention1"/>
    <w:basedOn w:val="4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3B09F5-AEC8-469E-9659-9B41E2A50510}">
  <ds:schemaRefs/>
</ds:datastoreItem>
</file>

<file path=docProps/app.xml><?xml version="1.0" encoding="utf-8"?>
<Properties xmlns="http://schemas.openxmlformats.org/officeDocument/2006/extended-properties" xmlns:vt="http://schemas.openxmlformats.org/officeDocument/2006/docPropsVTypes">
  <Template>Normal</Template>
  <Pages>4</Pages>
  <Words>1113</Words>
  <Characters>5617</Characters>
  <Lines>49</Lines>
  <Paragraphs>13</Paragraphs>
  <TotalTime>18</TotalTime>
  <ScaleCrop>false</ScaleCrop>
  <LinksUpToDate>false</LinksUpToDate>
  <CharactersWithSpaces>6687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2025-03-26T03:10:00Z</dcterms:created>
  <dc:creator>Xiaomi-Lisi</dc:creator>
  <cp:lastModifiedBy>Lisa</cp:lastModifiedBy>
  <dcterms:modified xsi:type="dcterms:W3CDTF">2025-03-28T01:56:47Z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D8514AC0646A4A75850692E560CA99A8_13</vt:lpwstr>
  </property>
  <property fmtid="{D5CDD505-2E9C-101B-9397-08002B2CF9AE}" pid="7" name="_DocHome">
    <vt:i4>1484877256</vt:i4>
  </property>
</Properties>
</file>